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92" w:rsidRPr="00347AC6" w:rsidRDefault="006E7E92" w:rsidP="006E7E9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UNDERTAKING &amp; DECLARATION</w:t>
      </w:r>
    </w:p>
    <w:p w:rsidR="006E7E92" w:rsidRPr="001C7AA0" w:rsidRDefault="006E7E92" w:rsidP="006E7E92">
      <w:pPr>
        <w:jc w:val="both"/>
        <w:rPr>
          <w:b/>
          <w:sz w:val="22"/>
          <w:szCs w:val="22"/>
          <w:u w:val="single"/>
        </w:rPr>
      </w:pPr>
    </w:p>
    <w:p w:rsidR="006E7E92" w:rsidRPr="00347AC6" w:rsidRDefault="006E7E92" w:rsidP="006E7E92">
      <w:pPr>
        <w:jc w:val="both"/>
        <w:rPr>
          <w:bCs/>
          <w:i/>
          <w:szCs w:val="22"/>
        </w:rPr>
      </w:pPr>
      <w:r w:rsidRPr="00347AC6">
        <w:rPr>
          <w:bCs/>
          <w:i/>
          <w:szCs w:val="22"/>
        </w:rPr>
        <w:t>To be completed on an official letter head/stationary of Directorate of Health Services of Respective State Government</w:t>
      </w:r>
    </w:p>
    <w:p w:rsidR="006E7E92" w:rsidRPr="00347AC6" w:rsidRDefault="006E7E92" w:rsidP="006E7E92">
      <w:pPr>
        <w:jc w:val="both"/>
        <w:rPr>
          <w:b/>
          <w:bCs/>
          <w:i/>
          <w:szCs w:val="22"/>
        </w:rPr>
      </w:pPr>
    </w:p>
    <w:p w:rsidR="006E7E92" w:rsidRDefault="006E7E92" w:rsidP="006E7E92">
      <w:pPr>
        <w:jc w:val="both"/>
        <w:rPr>
          <w:b/>
          <w:bCs/>
          <w:szCs w:val="22"/>
        </w:rPr>
      </w:pPr>
    </w:p>
    <w:p w:rsidR="006E7E92" w:rsidRPr="00347AC6" w:rsidRDefault="006E7E92" w:rsidP="006E7E92">
      <w:pPr>
        <w:jc w:val="both"/>
        <w:rPr>
          <w:b/>
          <w:bCs/>
          <w:szCs w:val="22"/>
        </w:rPr>
      </w:pPr>
      <w:r w:rsidRPr="00347AC6">
        <w:rPr>
          <w:b/>
          <w:bCs/>
          <w:szCs w:val="22"/>
        </w:rPr>
        <w:t>UNDERTAKING FOR DNB PROGRAMME AT DISTRICT HOSPITALS IN THE STATE OF ____________________</w:t>
      </w:r>
      <w:proofErr w:type="gramStart"/>
      <w:r w:rsidRPr="00347AC6">
        <w:rPr>
          <w:b/>
          <w:bCs/>
          <w:szCs w:val="22"/>
        </w:rPr>
        <w:t>_(</w:t>
      </w:r>
      <w:proofErr w:type="gramEnd"/>
      <w:r w:rsidRPr="00347AC6">
        <w:rPr>
          <w:b/>
          <w:bCs/>
          <w:szCs w:val="22"/>
        </w:rPr>
        <w:t>Name of the applicant District/Civil/General Hospital)</w:t>
      </w:r>
    </w:p>
    <w:p w:rsidR="006E7E92" w:rsidRPr="001C7AA0" w:rsidRDefault="006E7E92" w:rsidP="006E7E92">
      <w:pPr>
        <w:jc w:val="both"/>
        <w:rPr>
          <w:b/>
          <w:szCs w:val="22"/>
        </w:rPr>
      </w:pPr>
    </w:p>
    <w:p w:rsidR="006E7E92" w:rsidRPr="001C7AA0" w:rsidRDefault="006E7E92" w:rsidP="006E7E92">
      <w:pPr>
        <w:jc w:val="both"/>
        <w:rPr>
          <w:sz w:val="22"/>
          <w:szCs w:val="22"/>
        </w:rPr>
      </w:pPr>
      <w:r w:rsidRPr="001C7AA0">
        <w:rPr>
          <w:sz w:val="22"/>
          <w:szCs w:val="22"/>
        </w:rPr>
        <w:t>The State Govt. of ____________ has applied for accreditation of following district hospital in the State for DNB programme as under:</w:t>
      </w:r>
    </w:p>
    <w:p w:rsidR="006E7E92" w:rsidRPr="001C7AA0" w:rsidRDefault="006E7E92" w:rsidP="006E7E92">
      <w:pPr>
        <w:jc w:val="both"/>
        <w:rPr>
          <w:sz w:val="22"/>
          <w:szCs w:val="22"/>
        </w:rPr>
      </w:pPr>
    </w:p>
    <w:tbl>
      <w:tblPr>
        <w:tblW w:w="900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/>
      </w:tblPr>
      <w:tblGrid>
        <w:gridCol w:w="2588"/>
        <w:gridCol w:w="3712"/>
        <w:gridCol w:w="2700"/>
      </w:tblGrid>
      <w:tr w:rsidR="006E7E92" w:rsidRPr="001C7AA0" w:rsidTr="009C7F2A">
        <w:tc>
          <w:tcPr>
            <w:tcW w:w="2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E92" w:rsidRPr="001C7AA0" w:rsidRDefault="006E7E92" w:rsidP="009C7F2A">
            <w:pPr>
              <w:jc w:val="both"/>
              <w:rPr>
                <w:sz w:val="22"/>
                <w:szCs w:val="22"/>
                <w:lang w:eastAsia="en-IN"/>
              </w:rPr>
            </w:pPr>
            <w:r w:rsidRPr="001C7AA0">
              <w:rPr>
                <w:b/>
                <w:bCs/>
                <w:sz w:val="22"/>
                <w:szCs w:val="22"/>
                <w:lang w:eastAsia="en-IN"/>
              </w:rPr>
              <w:t>Applicant District Hospitals</w:t>
            </w:r>
          </w:p>
        </w:tc>
        <w:tc>
          <w:tcPr>
            <w:tcW w:w="3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E7E92" w:rsidRPr="001C7AA0" w:rsidRDefault="006E7E92" w:rsidP="009C7F2A">
            <w:pPr>
              <w:ind w:left="180" w:right="238"/>
              <w:jc w:val="both"/>
              <w:rPr>
                <w:b/>
                <w:bCs/>
                <w:sz w:val="22"/>
                <w:szCs w:val="22"/>
                <w:lang w:eastAsia="en-IN"/>
              </w:rPr>
            </w:pPr>
            <w:r w:rsidRPr="001C7AA0">
              <w:rPr>
                <w:b/>
                <w:bCs/>
                <w:sz w:val="22"/>
                <w:szCs w:val="22"/>
                <w:lang w:eastAsia="en-IN"/>
              </w:rPr>
              <w:t xml:space="preserve">Annexed </w:t>
            </w:r>
            <w:r>
              <w:rPr>
                <w:b/>
                <w:bCs/>
                <w:sz w:val="22"/>
                <w:szCs w:val="22"/>
                <w:lang w:eastAsia="en-IN"/>
              </w:rPr>
              <w:t>Secondary Node</w:t>
            </w:r>
            <w:r w:rsidRPr="001C7AA0">
              <w:rPr>
                <w:b/>
                <w:bCs/>
                <w:sz w:val="22"/>
                <w:szCs w:val="22"/>
                <w:lang w:eastAsia="en-IN"/>
              </w:rPr>
              <w:t xml:space="preserve"> with the applicant District Hospital for DNB training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E92" w:rsidRPr="001C7AA0" w:rsidRDefault="006E7E92" w:rsidP="009C7F2A">
            <w:pPr>
              <w:jc w:val="both"/>
              <w:rPr>
                <w:sz w:val="22"/>
                <w:szCs w:val="22"/>
                <w:lang w:eastAsia="en-IN"/>
              </w:rPr>
            </w:pPr>
            <w:r w:rsidRPr="001C7AA0">
              <w:rPr>
                <w:b/>
                <w:bCs/>
                <w:sz w:val="22"/>
                <w:szCs w:val="22"/>
                <w:lang w:eastAsia="en-IN"/>
              </w:rPr>
              <w:t>Specialty applied for</w:t>
            </w:r>
          </w:p>
        </w:tc>
      </w:tr>
      <w:tr w:rsidR="006E7E92" w:rsidRPr="001C7AA0" w:rsidTr="009C7F2A">
        <w:trPr>
          <w:trHeight w:val="610"/>
        </w:trPr>
        <w:tc>
          <w:tcPr>
            <w:tcW w:w="2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E92" w:rsidRPr="001C7AA0" w:rsidRDefault="006E7E92" w:rsidP="009C7F2A">
            <w:pPr>
              <w:jc w:val="both"/>
              <w:rPr>
                <w:sz w:val="22"/>
                <w:szCs w:val="22"/>
                <w:lang w:eastAsia="en-IN"/>
              </w:rPr>
            </w:pPr>
          </w:p>
        </w:tc>
        <w:tc>
          <w:tcPr>
            <w:tcW w:w="3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E7E92" w:rsidRPr="001C7AA0" w:rsidRDefault="006E7E92" w:rsidP="009C7F2A">
            <w:pPr>
              <w:pStyle w:val="ListParagraph"/>
              <w:spacing w:after="0" w:line="240" w:lineRule="auto"/>
              <w:ind w:left="180" w:right="238"/>
              <w:jc w:val="both"/>
              <w:rPr>
                <w:rFonts w:ascii="Arial" w:hAnsi="Arial" w:cs="Arial"/>
                <w:lang w:eastAsia="en-IN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E92" w:rsidRPr="001C7AA0" w:rsidRDefault="006E7E92" w:rsidP="009C7F2A">
            <w:pPr>
              <w:pStyle w:val="ListParagraph"/>
              <w:spacing w:after="0" w:line="240" w:lineRule="auto"/>
              <w:ind w:left="360"/>
              <w:jc w:val="both"/>
              <w:rPr>
                <w:rFonts w:ascii="Arial" w:hAnsi="Arial" w:cs="Arial"/>
                <w:lang w:eastAsia="en-IN"/>
              </w:rPr>
            </w:pPr>
          </w:p>
        </w:tc>
      </w:tr>
    </w:tbl>
    <w:p w:rsidR="006E7E92" w:rsidRPr="001C7AA0" w:rsidRDefault="006E7E92" w:rsidP="006E7E92">
      <w:pPr>
        <w:jc w:val="both"/>
        <w:rPr>
          <w:sz w:val="22"/>
          <w:szCs w:val="22"/>
        </w:rPr>
      </w:pPr>
    </w:p>
    <w:p w:rsidR="006E7E92" w:rsidRPr="001C7AA0" w:rsidRDefault="006E7E92" w:rsidP="006E7E92">
      <w:pPr>
        <w:jc w:val="both"/>
        <w:rPr>
          <w:sz w:val="22"/>
          <w:szCs w:val="22"/>
        </w:rPr>
      </w:pPr>
      <w:r w:rsidRPr="001C7AA0">
        <w:rPr>
          <w:sz w:val="22"/>
          <w:szCs w:val="22"/>
        </w:rPr>
        <w:t>It is hereby undertaken that:</w:t>
      </w:r>
    </w:p>
    <w:p w:rsidR="006E7E92" w:rsidRPr="001C7AA0" w:rsidRDefault="006E7E92" w:rsidP="006E7E92">
      <w:pPr>
        <w:jc w:val="both"/>
        <w:rPr>
          <w:sz w:val="22"/>
          <w:szCs w:val="22"/>
        </w:rPr>
      </w:pPr>
    </w:p>
    <w:p w:rsidR="006E7E92" w:rsidRPr="001C7AA0" w:rsidRDefault="006E7E92" w:rsidP="006E7E9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lang w:eastAsia="en-IN"/>
        </w:rPr>
      </w:pPr>
      <w:r w:rsidRPr="001C7AA0">
        <w:rPr>
          <w:rFonts w:ascii="Arial" w:hAnsi="Arial" w:cs="Arial"/>
          <w:lang w:eastAsia="en-IN"/>
        </w:rPr>
        <w:t xml:space="preserve">The State Govt will ensure that an operational tie up with annexed </w:t>
      </w:r>
      <w:r>
        <w:rPr>
          <w:rFonts w:ascii="Arial" w:hAnsi="Arial" w:cs="Arial"/>
          <w:lang w:eastAsia="en-IN"/>
        </w:rPr>
        <w:t>secondary node</w:t>
      </w:r>
      <w:r w:rsidRPr="001C7AA0">
        <w:rPr>
          <w:rFonts w:ascii="Arial" w:hAnsi="Arial" w:cs="Arial"/>
          <w:lang w:eastAsia="en-IN"/>
        </w:rPr>
        <w:t>, the facilities/infrastructure of which are proposed to be utilized for training of DNB trainees at applicant district hospital, will continue uninterrupted for the period of accreditation.</w:t>
      </w:r>
    </w:p>
    <w:p w:rsidR="006E7E92" w:rsidRPr="001C7AA0" w:rsidRDefault="006E7E92" w:rsidP="006E7E92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lang w:eastAsia="en-IN"/>
        </w:rPr>
      </w:pPr>
    </w:p>
    <w:p w:rsidR="006E7E92" w:rsidRPr="001C7AA0" w:rsidRDefault="006E7E92" w:rsidP="006E7E9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lang w:eastAsia="en-IN"/>
        </w:rPr>
      </w:pPr>
      <w:r w:rsidRPr="001C7AA0">
        <w:rPr>
          <w:rFonts w:ascii="Arial" w:hAnsi="Arial" w:cs="Arial"/>
          <w:lang w:eastAsia="en-IN"/>
        </w:rPr>
        <w:t xml:space="preserve">No changes in the faculty will be made within the period of accreditation. However, under extreme circumstances if the Faculty/Guide present at the time of assessment at any of the applicant district hospital and its partner </w:t>
      </w:r>
      <w:r>
        <w:rPr>
          <w:rFonts w:ascii="Arial" w:hAnsi="Arial" w:cs="Arial"/>
          <w:lang w:eastAsia="en-IN"/>
        </w:rPr>
        <w:t>secondary node</w:t>
      </w:r>
      <w:r w:rsidRPr="001C7AA0">
        <w:rPr>
          <w:rFonts w:ascii="Arial" w:hAnsi="Arial" w:cs="Arial"/>
          <w:lang w:eastAsia="en-IN"/>
        </w:rPr>
        <w:t xml:space="preserve"> is to be replaced, the same be carried out within 2 months under intimation to the NBE and the total no. of faculty will not be reduced under any circumstances.</w:t>
      </w:r>
    </w:p>
    <w:p w:rsidR="006E7E92" w:rsidRPr="001C7AA0" w:rsidRDefault="006E7E92" w:rsidP="006E7E92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lang w:eastAsia="en-IN"/>
        </w:rPr>
      </w:pPr>
    </w:p>
    <w:p w:rsidR="006E7E92" w:rsidRPr="001C7AA0" w:rsidRDefault="006E7E92" w:rsidP="006E7E9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1C7AA0">
        <w:rPr>
          <w:rFonts w:ascii="Arial" w:hAnsi="Arial" w:cs="Arial"/>
          <w:lang w:eastAsia="en-IN"/>
        </w:rPr>
        <w:t xml:space="preserve">The selection procedure for the DNB candidates at above mentioned hospital shall be made only through the Centralized Merit Based </w:t>
      </w:r>
      <w:proofErr w:type="spellStart"/>
      <w:r w:rsidRPr="001C7AA0">
        <w:rPr>
          <w:rFonts w:ascii="Arial" w:hAnsi="Arial" w:cs="Arial"/>
          <w:lang w:eastAsia="en-IN"/>
        </w:rPr>
        <w:t>Counseling</w:t>
      </w:r>
      <w:proofErr w:type="spellEnd"/>
      <w:r w:rsidRPr="001C7AA0">
        <w:rPr>
          <w:rFonts w:ascii="Arial" w:hAnsi="Arial" w:cs="Arial"/>
          <w:lang w:eastAsia="en-IN"/>
        </w:rPr>
        <w:t xml:space="preserve"> conducted by the National Board of Examinations for admission to DNB courses in every admission session as per time schedule &amp; guidelines notified by NBE. </w:t>
      </w:r>
      <w:r w:rsidRPr="001C7AA0">
        <w:rPr>
          <w:rFonts w:ascii="Arial" w:hAnsi="Arial" w:cs="Arial"/>
          <w:b/>
          <w:u w:val="single"/>
          <w:lang w:eastAsia="en-IN"/>
        </w:rPr>
        <w:t>There is no other admission methodology for DNB courses</w:t>
      </w:r>
      <w:r w:rsidRPr="001C7AA0">
        <w:rPr>
          <w:rFonts w:ascii="Arial" w:hAnsi="Arial" w:cs="Arial"/>
        </w:rPr>
        <w:t xml:space="preserve">.  </w:t>
      </w:r>
    </w:p>
    <w:p w:rsidR="006E7E92" w:rsidRPr="001C7AA0" w:rsidRDefault="006E7E92" w:rsidP="006E7E92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lang w:eastAsia="en-IN"/>
        </w:rPr>
      </w:pPr>
    </w:p>
    <w:p w:rsidR="006E7E92" w:rsidRPr="001C7AA0" w:rsidRDefault="006E7E92" w:rsidP="006E7E9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lang w:eastAsia="en-IN"/>
        </w:rPr>
      </w:pPr>
      <w:r w:rsidRPr="001C7AA0">
        <w:rPr>
          <w:rFonts w:ascii="Arial" w:hAnsi="Arial" w:cs="Arial"/>
          <w:lang w:eastAsia="en-IN"/>
        </w:rPr>
        <w:t xml:space="preserve">The State Govt will facilitate participation of faculty from the applicant district hospitals/annexed </w:t>
      </w:r>
      <w:r>
        <w:rPr>
          <w:rFonts w:ascii="Arial" w:hAnsi="Arial" w:cs="Arial"/>
          <w:lang w:eastAsia="en-IN"/>
        </w:rPr>
        <w:t>secondary node</w:t>
      </w:r>
      <w:r w:rsidRPr="001C7AA0">
        <w:rPr>
          <w:rFonts w:ascii="Arial" w:hAnsi="Arial" w:cs="Arial"/>
          <w:lang w:eastAsia="en-IN"/>
        </w:rPr>
        <w:t xml:space="preserve"> in periodic faculty development/training of trainer’s workshop.</w:t>
      </w:r>
    </w:p>
    <w:p w:rsidR="006E7E92" w:rsidRPr="001C7AA0" w:rsidRDefault="006E7E92" w:rsidP="006E7E92">
      <w:pPr>
        <w:pStyle w:val="ListParagraph"/>
        <w:shd w:val="clear" w:color="auto" w:fill="FFFFFF"/>
        <w:spacing w:after="0" w:line="240" w:lineRule="auto"/>
        <w:jc w:val="both"/>
        <w:rPr>
          <w:rFonts w:ascii="Arial" w:hAnsi="Arial" w:cs="Arial"/>
          <w:lang w:eastAsia="en-IN"/>
        </w:rPr>
      </w:pPr>
    </w:p>
    <w:p w:rsidR="006E7E92" w:rsidRPr="001C7AA0" w:rsidRDefault="006E7E92" w:rsidP="006E7E9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1C7AA0">
        <w:rPr>
          <w:rFonts w:ascii="Arial" w:hAnsi="Arial" w:cs="Arial"/>
          <w:lang w:eastAsia="en-IN"/>
        </w:rPr>
        <w:t>The State Govt. will ensure that DNB training at applicant district hospitals will be carried out in accordance with prescribed NBE guidelines only.</w:t>
      </w:r>
    </w:p>
    <w:p w:rsidR="006E7E92" w:rsidRPr="001C7AA0" w:rsidRDefault="006E7E92" w:rsidP="006E7E92">
      <w:pPr>
        <w:pStyle w:val="ListParagraph"/>
        <w:ind w:left="360"/>
        <w:jc w:val="both"/>
        <w:rPr>
          <w:rFonts w:ascii="Arial" w:hAnsi="Arial" w:cs="Arial"/>
        </w:rPr>
      </w:pPr>
      <w:r w:rsidRPr="001C7AA0">
        <w:rPr>
          <w:rFonts w:ascii="Arial" w:hAnsi="Arial" w:cs="Arial"/>
        </w:rPr>
        <w:t>Date:</w:t>
      </w:r>
      <w:r w:rsidRPr="001C7AA0">
        <w:rPr>
          <w:rFonts w:ascii="Arial" w:hAnsi="Arial" w:cs="Arial"/>
        </w:rPr>
        <w:tab/>
      </w:r>
      <w:r w:rsidRPr="001C7AA0">
        <w:rPr>
          <w:rFonts w:ascii="Arial" w:hAnsi="Arial" w:cs="Arial"/>
        </w:rPr>
        <w:tab/>
      </w:r>
    </w:p>
    <w:p w:rsidR="006E7E92" w:rsidRPr="001C7AA0" w:rsidRDefault="006E7E92" w:rsidP="006E7E92">
      <w:pPr>
        <w:pStyle w:val="ListParagraph"/>
        <w:spacing w:after="0" w:line="240" w:lineRule="auto"/>
        <w:ind w:left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1C7AA0">
        <w:rPr>
          <w:rFonts w:ascii="Arial" w:hAnsi="Arial" w:cs="Arial"/>
        </w:rPr>
        <w:t>Place:</w:t>
      </w:r>
      <w:r>
        <w:rPr>
          <w:rFonts w:ascii="Arial" w:hAnsi="Arial" w:cs="Arial"/>
        </w:rPr>
        <w:t xml:space="preserve">    </w:t>
      </w:r>
      <w:r w:rsidRPr="001C7AA0">
        <w:rPr>
          <w:rFonts w:ascii="Arial" w:hAnsi="Arial" w:cs="Arial"/>
        </w:rPr>
        <w:tab/>
      </w:r>
      <w:r w:rsidRPr="001C7AA0">
        <w:rPr>
          <w:rFonts w:ascii="Arial" w:hAnsi="Arial" w:cs="Arial"/>
        </w:rPr>
        <w:tab/>
      </w:r>
      <w:r w:rsidRPr="001C7AA0">
        <w:rPr>
          <w:rFonts w:ascii="Arial" w:hAnsi="Arial" w:cs="Arial"/>
        </w:rPr>
        <w:tab/>
      </w:r>
      <w:r w:rsidRPr="001C7AA0">
        <w:rPr>
          <w:rFonts w:ascii="Arial" w:hAnsi="Arial" w:cs="Arial"/>
        </w:rPr>
        <w:tab/>
      </w:r>
      <w:r w:rsidRPr="001C7AA0">
        <w:rPr>
          <w:rFonts w:ascii="Arial" w:hAnsi="Arial" w:cs="Arial"/>
        </w:rPr>
        <w:tab/>
      </w:r>
      <w:r w:rsidRPr="001C7AA0">
        <w:rPr>
          <w:rFonts w:ascii="Arial" w:hAnsi="Arial" w:cs="Arial"/>
        </w:rPr>
        <w:tab/>
      </w:r>
      <w:r w:rsidRPr="001C7AA0">
        <w:rPr>
          <w:rFonts w:ascii="Arial" w:hAnsi="Arial" w:cs="Arial"/>
        </w:rPr>
        <w:tab/>
      </w:r>
      <w:r w:rsidRPr="001C7AA0">
        <w:rPr>
          <w:rFonts w:ascii="Arial" w:hAnsi="Arial" w:cs="Arial"/>
        </w:rPr>
        <w:tab/>
      </w:r>
      <w:r w:rsidRPr="001C7AA0">
        <w:rPr>
          <w:rFonts w:ascii="Arial" w:hAnsi="Arial" w:cs="Arial"/>
        </w:rPr>
        <w:tab/>
      </w:r>
      <w:r w:rsidRPr="001C7AA0">
        <w:rPr>
          <w:rFonts w:ascii="Arial" w:hAnsi="Arial" w:cs="Arial"/>
        </w:rPr>
        <w:tab/>
      </w:r>
      <w:r w:rsidRPr="001C7AA0">
        <w:rPr>
          <w:rFonts w:ascii="Arial" w:hAnsi="Arial" w:cs="Arial"/>
        </w:rPr>
        <w:tab/>
      </w:r>
      <w:r w:rsidRPr="001C7AA0">
        <w:rPr>
          <w:rFonts w:ascii="Arial" w:hAnsi="Arial" w:cs="Arial"/>
        </w:rPr>
        <w:tab/>
      </w:r>
      <w:r w:rsidRPr="001C7AA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                                  </w:t>
      </w:r>
      <w:r w:rsidRPr="00347AC6">
        <w:rPr>
          <w:rFonts w:ascii="Arial" w:hAnsi="Arial" w:cs="Arial"/>
          <w:b/>
        </w:rPr>
        <w:t>Principal</w:t>
      </w:r>
      <w:r>
        <w:rPr>
          <w:rFonts w:ascii="Arial" w:hAnsi="Arial" w:cs="Arial"/>
        </w:rPr>
        <w:t xml:space="preserve"> </w:t>
      </w:r>
      <w:r w:rsidRPr="00347AC6">
        <w:rPr>
          <w:rFonts w:ascii="Arial" w:hAnsi="Arial" w:cs="Arial"/>
          <w:b/>
        </w:rPr>
        <w:t>S</w:t>
      </w:r>
      <w:r w:rsidRPr="001C7AA0">
        <w:rPr>
          <w:rFonts w:ascii="Arial" w:hAnsi="Arial" w:cs="Arial"/>
          <w:b/>
          <w:bCs/>
        </w:rPr>
        <w:t>ecretary</w:t>
      </w:r>
    </w:p>
    <w:p w:rsidR="006E7E92" w:rsidRPr="001C7AA0" w:rsidRDefault="006E7E92" w:rsidP="006E7E92">
      <w:pPr>
        <w:pStyle w:val="ListParagraph"/>
        <w:spacing w:after="0" w:line="240" w:lineRule="auto"/>
        <w:ind w:left="0"/>
        <w:jc w:val="right"/>
        <w:rPr>
          <w:rFonts w:ascii="Arial" w:hAnsi="Arial" w:cs="Arial"/>
        </w:rPr>
      </w:pPr>
      <w:r w:rsidRPr="001C7AA0">
        <w:rPr>
          <w:rFonts w:ascii="Arial" w:hAnsi="Arial" w:cs="Arial"/>
        </w:rPr>
        <w:tab/>
      </w:r>
      <w:r w:rsidRPr="001C7AA0">
        <w:rPr>
          <w:rFonts w:ascii="Arial" w:hAnsi="Arial" w:cs="Arial"/>
        </w:rPr>
        <w:tab/>
      </w:r>
      <w:r w:rsidRPr="001C7AA0">
        <w:rPr>
          <w:rFonts w:ascii="Arial" w:hAnsi="Arial" w:cs="Arial"/>
        </w:rPr>
        <w:tab/>
        <w:t>Directorate of Health Services, MoHFW</w:t>
      </w:r>
    </w:p>
    <w:p w:rsidR="006E7E92" w:rsidRPr="001C7AA0" w:rsidRDefault="006E7E92" w:rsidP="006E7E92">
      <w:pPr>
        <w:pStyle w:val="ListParagraph"/>
        <w:spacing w:after="0" w:line="240" w:lineRule="auto"/>
        <w:ind w:left="0"/>
        <w:jc w:val="right"/>
        <w:rPr>
          <w:rFonts w:ascii="Arial" w:hAnsi="Arial" w:cs="Arial"/>
        </w:rPr>
      </w:pPr>
      <w:r w:rsidRPr="001C7AA0">
        <w:rPr>
          <w:rFonts w:ascii="Arial" w:hAnsi="Arial" w:cs="Arial"/>
        </w:rPr>
        <w:t>Govt. of ___________________</w:t>
      </w:r>
    </w:p>
    <w:p w:rsidR="00961485" w:rsidRDefault="00961485" w:rsidP="006E7E92">
      <w:pPr>
        <w:jc w:val="right"/>
      </w:pPr>
    </w:p>
    <w:sectPr w:rsidR="00961485" w:rsidSect="009614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2786D"/>
    <w:multiLevelType w:val="hybridMultilevel"/>
    <w:tmpl w:val="788C0B5A"/>
    <w:lvl w:ilvl="0" w:tplc="3C22598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7E92"/>
    <w:rsid w:val="006E7E92"/>
    <w:rsid w:val="00961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E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E7E92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Devender Kumar</dc:creator>
  <cp:keywords/>
  <dc:description/>
  <cp:lastModifiedBy>Devender Kumar</cp:lastModifiedBy>
  <cp:revision>1</cp:revision>
  <dcterms:created xsi:type="dcterms:W3CDTF">2018-07-24T05:57:00Z</dcterms:created>
  <dcterms:modified xsi:type="dcterms:W3CDTF">2018-07-24T05:57:00Z</dcterms:modified>
</cp:coreProperties>
</file>